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BB250" w14:textId="77777777" w:rsidR="002863B2" w:rsidRPr="00F20F06" w:rsidRDefault="002863B2" w:rsidP="002863B2">
      <w:pPr>
        <w:spacing w:after="180" w:line="255" w:lineRule="atLeast"/>
        <w:ind w:left="3969" w:hanging="3969"/>
        <w:jc w:val="both"/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</w:pPr>
    </w:p>
    <w:p w14:paraId="03C47C1C" w14:textId="17EF1927" w:rsidR="002863B2" w:rsidRPr="00596D33" w:rsidRDefault="002863B2" w:rsidP="002863B2">
      <w:pPr>
        <w:spacing w:after="180" w:line="255" w:lineRule="atLeast"/>
        <w:ind w:left="3969" w:hanging="3969"/>
        <w:jc w:val="both"/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</w:pPr>
      <w:r w:rsidRPr="00596D33"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  <w:t xml:space="preserve">PORTARIA </w:t>
      </w:r>
      <w:r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  <w:t xml:space="preserve">AGEPAN </w:t>
      </w:r>
      <w:r w:rsidRPr="00596D33"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  <w:t>N° XXX/2021, DE XX DE XXXXXX DE 2021.</w:t>
      </w:r>
    </w:p>
    <w:p w14:paraId="23D9F7DE" w14:textId="77777777" w:rsidR="002863B2" w:rsidRPr="002863B2" w:rsidRDefault="002863B2" w:rsidP="002863B2">
      <w:pPr>
        <w:spacing w:after="180" w:line="255" w:lineRule="atLeast"/>
        <w:ind w:left="3969"/>
        <w:jc w:val="both"/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</w:pPr>
    </w:p>
    <w:p w14:paraId="7C06D43D" w14:textId="7A2E26C1" w:rsidR="002863B2" w:rsidRPr="002863B2" w:rsidRDefault="002863B2" w:rsidP="002863B2">
      <w:pPr>
        <w:spacing w:after="180" w:line="255" w:lineRule="atLeast"/>
        <w:ind w:left="4111"/>
        <w:jc w:val="both"/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</w:pPr>
      <w:r w:rsidRPr="002863B2"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  <w:annotationRef/>
      </w:r>
      <w:r w:rsidR="00F34504"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  <w:t>Regulamenta</w:t>
      </w:r>
      <w:r w:rsidRPr="002863B2"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  <w:t xml:space="preserve"> a </w:t>
      </w:r>
      <w:r w:rsidR="00F34504"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  <w:t xml:space="preserve">exploração </w:t>
      </w:r>
      <w:r w:rsidRPr="002863B2"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  <w:t xml:space="preserve">de receitas extraordinárias nas </w:t>
      </w:r>
      <w:r w:rsidR="00396F4F"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  <w:t xml:space="preserve">concessões de </w:t>
      </w:r>
      <w:r w:rsidR="00FB2CCA"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  <w:t>r</w:t>
      </w:r>
      <w:r w:rsidRPr="002863B2"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  <w:t>odovias do Estado de Mato Grosso do Sul</w:t>
      </w:r>
      <w:r w:rsidR="00FB2CCA">
        <w:rPr>
          <w:rFonts w:ascii="Arial Narrow" w:eastAsia="Times New Roman" w:hAnsi="Arial Narrow" w:cs="Arial"/>
          <w:iCs/>
          <w:bdr w:val="none" w:sz="0" w:space="0" w:color="auto" w:frame="1"/>
          <w:shd w:val="clear" w:color="auto" w:fill="FFFFFF"/>
          <w:lang w:eastAsia="pt-BR"/>
        </w:rPr>
        <w:t>.</w:t>
      </w:r>
    </w:p>
    <w:p w14:paraId="2D092B23" w14:textId="77777777" w:rsidR="002863B2" w:rsidRPr="002863B2" w:rsidRDefault="002863B2" w:rsidP="002863B2">
      <w:pPr>
        <w:spacing w:after="180" w:line="255" w:lineRule="atLeast"/>
        <w:ind w:left="4111"/>
        <w:jc w:val="both"/>
        <w:rPr>
          <w:rFonts w:ascii="Arial Narrow" w:eastAsia="Times New Roman" w:hAnsi="Arial Narrow" w:cs="Arial"/>
          <w:iCs/>
          <w:strike/>
          <w:bdr w:val="none" w:sz="0" w:space="0" w:color="auto" w:frame="1"/>
          <w:shd w:val="clear" w:color="auto" w:fill="FFFFFF"/>
          <w:lang w:eastAsia="pt-BR"/>
        </w:rPr>
      </w:pPr>
    </w:p>
    <w:p w14:paraId="53C8A4AC" w14:textId="77777777" w:rsidR="002863B2" w:rsidRPr="002863B2" w:rsidRDefault="002863B2" w:rsidP="002863B2">
      <w:pPr>
        <w:spacing w:after="180" w:line="255" w:lineRule="atLeast"/>
        <w:ind w:left="4111"/>
        <w:jc w:val="both"/>
        <w:rPr>
          <w:rFonts w:ascii="Arial Narrow" w:eastAsia="Times New Roman" w:hAnsi="Arial Narrow" w:cs="Arial"/>
          <w:iCs/>
          <w:strike/>
          <w:bdr w:val="none" w:sz="0" w:space="0" w:color="auto" w:frame="1"/>
          <w:shd w:val="clear" w:color="auto" w:fill="FFFFFF"/>
          <w:lang w:eastAsia="pt-BR"/>
        </w:rPr>
      </w:pPr>
    </w:p>
    <w:p w14:paraId="536234D9" w14:textId="77777777" w:rsidR="002863B2" w:rsidRPr="002863B2" w:rsidRDefault="002863B2" w:rsidP="002863B2">
      <w:pPr>
        <w:spacing w:after="180" w:line="255" w:lineRule="atLeast"/>
        <w:rPr>
          <w:rFonts w:ascii="Arial Narrow" w:eastAsia="Times New Roman" w:hAnsi="Arial Narrow" w:cs="Arial"/>
          <w:shd w:val="clear" w:color="auto" w:fill="FFFFFF"/>
          <w:lang w:eastAsia="pt-BR"/>
        </w:rPr>
      </w:pPr>
    </w:p>
    <w:p w14:paraId="799244EA" w14:textId="77777777" w:rsidR="002863B2" w:rsidRPr="00F20F06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F20F06">
        <w:rPr>
          <w:rFonts w:ascii="Arial Narrow" w:hAnsi="Arial Narrow"/>
          <w:b/>
          <w:bCs/>
          <w:sz w:val="22"/>
          <w:szCs w:val="22"/>
        </w:rPr>
        <w:t xml:space="preserve">A Diretoria Executiva </w:t>
      </w:r>
      <w:r w:rsidRPr="00F20F06">
        <w:rPr>
          <w:rFonts w:ascii="Arial Narrow" w:hAnsi="Arial Narrow" w:cs="Arial"/>
          <w:sz w:val="22"/>
          <w:szCs w:val="22"/>
        </w:rPr>
        <w:t xml:space="preserve">da Agência Estadual de Regulação de Serviços Públicos de Mato Grosso do Sul – </w:t>
      </w:r>
      <w:r w:rsidRPr="00F20F06">
        <w:rPr>
          <w:rFonts w:ascii="Arial Narrow" w:hAnsi="Arial Narrow"/>
          <w:b/>
          <w:i/>
          <w:iCs/>
          <w:sz w:val="22"/>
          <w:szCs w:val="22"/>
        </w:rPr>
        <w:t>Agepan</w:t>
      </w:r>
      <w:r w:rsidRPr="00F20F06">
        <w:rPr>
          <w:rFonts w:ascii="Arial Narrow" w:hAnsi="Arial Narrow" w:cs="Arial"/>
          <w:sz w:val="22"/>
          <w:szCs w:val="22"/>
        </w:rPr>
        <w:t xml:space="preserve">, no uso de suas atribuições legais, e tendo em vista o disposto na alínea “a”, inciso I do art. 4° da Lei Estadual n° 2.363, de 19 de dezembro de 2001 nos artigos 26 e 27 da Lei Estadual n° 2.766, de 18 de dezembro de 2003, e no inciso IX do art. 15 do Decreto Estadual n° 14.443, de 6 de abril de 2016; </w:t>
      </w:r>
    </w:p>
    <w:p w14:paraId="7B6ACE46" w14:textId="77777777" w:rsidR="002863B2" w:rsidRPr="00A312E0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4B784AA4" w14:textId="77777777" w:rsidR="002863B2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8D577F">
        <w:rPr>
          <w:rFonts w:ascii="Arial Narrow" w:hAnsi="Arial Narrow" w:cs="Arial"/>
          <w:sz w:val="22"/>
          <w:szCs w:val="22"/>
        </w:rPr>
        <w:t>Considerando o que dispõe o art. 11, da Lei nº 8.987, de 13 de fevereiro de 1995, e o art. 12, da Lei Estadual nº 1.776, de 30 de setembro de 1997, que poderá o Poder Concedente prever, em favor da concessionária, no edital de licitação, a possibilidade de outras fontes provenientes de receitas alternativas, complementares, acessórias ou projetos associados, com ou sem exclusividade, com vistas a favorecer a modicidade das tar</w:t>
      </w:r>
      <w:r w:rsidRPr="00DF4579">
        <w:rPr>
          <w:rFonts w:ascii="Arial Narrow" w:hAnsi="Arial Narrow" w:cs="Arial"/>
          <w:sz w:val="22"/>
          <w:szCs w:val="22"/>
        </w:rPr>
        <w:t>ifas</w:t>
      </w:r>
      <w:r>
        <w:rPr>
          <w:rFonts w:ascii="Arial Narrow" w:hAnsi="Arial Narrow" w:cs="Arial"/>
          <w:sz w:val="22"/>
          <w:szCs w:val="22"/>
        </w:rPr>
        <w:t>;</w:t>
      </w:r>
    </w:p>
    <w:p w14:paraId="60D44F1E" w14:textId="77777777" w:rsidR="002863B2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4BEC0E0F" w14:textId="480DF75A" w:rsidR="002863B2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DF4579">
        <w:rPr>
          <w:rFonts w:ascii="Arial Narrow" w:hAnsi="Arial Narrow" w:cs="Arial"/>
          <w:sz w:val="22"/>
          <w:szCs w:val="22"/>
        </w:rPr>
        <w:t>Considerando que no Estado de Mato Grosso do Sul, a utilização e ocupação das faixas de domínio das rodovias estaduais e federais</w:t>
      </w:r>
      <w:r w:rsidR="00861607">
        <w:rPr>
          <w:rFonts w:ascii="Arial Narrow" w:hAnsi="Arial Narrow" w:cs="Arial"/>
          <w:sz w:val="22"/>
          <w:szCs w:val="22"/>
        </w:rPr>
        <w:t xml:space="preserve"> delegadas</w:t>
      </w:r>
      <w:r w:rsidRPr="00DF4579">
        <w:rPr>
          <w:rFonts w:ascii="Arial Narrow" w:hAnsi="Arial Narrow" w:cs="Arial"/>
          <w:sz w:val="22"/>
          <w:szCs w:val="22"/>
        </w:rPr>
        <w:t xml:space="preserve">, </w:t>
      </w:r>
      <w:r w:rsidR="00861607">
        <w:rPr>
          <w:rFonts w:ascii="Arial Narrow" w:hAnsi="Arial Narrow" w:cs="Arial"/>
          <w:sz w:val="22"/>
          <w:szCs w:val="22"/>
        </w:rPr>
        <w:t>está</w:t>
      </w:r>
      <w:r w:rsidRPr="00DF4579">
        <w:rPr>
          <w:rFonts w:ascii="Arial Narrow" w:hAnsi="Arial Narrow" w:cs="Arial"/>
          <w:sz w:val="22"/>
          <w:szCs w:val="22"/>
        </w:rPr>
        <w:t xml:space="preserve"> disciplinada pela Lei nº 3.344, de 22 de dezembro de 2006</w:t>
      </w:r>
      <w:r w:rsidR="00861607">
        <w:rPr>
          <w:rFonts w:ascii="Arial Narrow" w:hAnsi="Arial Narrow" w:cs="Arial"/>
          <w:sz w:val="22"/>
          <w:szCs w:val="22"/>
        </w:rPr>
        <w:t>,</w:t>
      </w:r>
      <w:r w:rsidRPr="00DF4579">
        <w:rPr>
          <w:rFonts w:ascii="Arial Narrow" w:hAnsi="Arial Narrow" w:cs="Arial"/>
          <w:sz w:val="22"/>
          <w:szCs w:val="22"/>
        </w:rPr>
        <w:t xml:space="preserve"> e regulamentada pelo Decreto nº 12.526, de 25 de março de 2008</w:t>
      </w:r>
      <w:r>
        <w:rPr>
          <w:rFonts w:ascii="Arial Narrow" w:hAnsi="Arial Narrow" w:cs="Arial"/>
          <w:sz w:val="22"/>
          <w:szCs w:val="22"/>
        </w:rPr>
        <w:t>; e</w:t>
      </w:r>
    </w:p>
    <w:p w14:paraId="39E43F53" w14:textId="77777777" w:rsidR="002863B2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045E1FE2" w14:textId="77777777" w:rsidR="002863B2" w:rsidRPr="00F20F06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F20F06">
        <w:rPr>
          <w:rFonts w:ascii="Arial Narrow" w:hAnsi="Arial Narrow" w:cs="Arial"/>
          <w:sz w:val="22"/>
          <w:szCs w:val="22"/>
        </w:rPr>
        <w:t>Considerando o Decreto Estadual nº 13.926, de 02 de abril de 2014, que dispõe sobre o Programa Estadual de Concessões Rodoviárias e aprova o Regulamento da Concessão Onerosa dos Serviços Pú</w:t>
      </w:r>
      <w:bookmarkStart w:id="0" w:name="_GoBack"/>
      <w:bookmarkEnd w:id="0"/>
      <w:r w:rsidRPr="00F20F06">
        <w:rPr>
          <w:rFonts w:ascii="Arial Narrow" w:hAnsi="Arial Narrow" w:cs="Arial"/>
          <w:sz w:val="22"/>
          <w:szCs w:val="22"/>
        </w:rPr>
        <w:t>blicos de Exploração do Sistema Rodoviário, constituído pelas rodovias MS-040, MS-112, MS-135, MS-180, MS-223, MS-289, MS-295, MS-306, MS-316, MS-338, MS-395 e acessos;</w:t>
      </w:r>
    </w:p>
    <w:p w14:paraId="29F9D494" w14:textId="77777777" w:rsidR="002863B2" w:rsidRPr="00DF4579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705D036F" w14:textId="77777777" w:rsidR="002863B2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Considerando que a minuta de regulamento foi submetida à Consulta Pública nº XXX/2021, </w:t>
      </w:r>
      <w:r w:rsidRPr="008D577F">
        <w:rPr>
          <w:rFonts w:ascii="Arial Narrow" w:hAnsi="Arial Narrow" w:cs="Arial"/>
          <w:sz w:val="22"/>
          <w:szCs w:val="22"/>
        </w:rPr>
        <w:t xml:space="preserve">conforme prazo estabelecido na publicação do Aviso de Abertura </w:t>
      </w:r>
      <w:r>
        <w:rPr>
          <w:rFonts w:ascii="Arial Narrow" w:hAnsi="Arial Narrow" w:cs="Arial"/>
          <w:sz w:val="22"/>
          <w:szCs w:val="22"/>
        </w:rPr>
        <w:t xml:space="preserve">de Consulta Pública n° </w:t>
      </w:r>
      <w:r w:rsidRPr="008D577F">
        <w:rPr>
          <w:rFonts w:ascii="Arial Narrow" w:hAnsi="Arial Narrow" w:cs="Arial"/>
          <w:color w:val="FF0000"/>
          <w:sz w:val="22"/>
          <w:szCs w:val="22"/>
        </w:rPr>
        <w:t>XXX</w:t>
      </w:r>
      <w:r>
        <w:rPr>
          <w:rFonts w:ascii="Arial Narrow" w:hAnsi="Arial Narrow" w:cs="Arial"/>
          <w:sz w:val="22"/>
          <w:szCs w:val="22"/>
        </w:rPr>
        <w:t xml:space="preserve">/2021, </w:t>
      </w:r>
      <w:r w:rsidRPr="008D577F">
        <w:rPr>
          <w:rFonts w:ascii="Arial Narrow" w:hAnsi="Arial Narrow" w:cs="Arial"/>
          <w:sz w:val="22"/>
          <w:szCs w:val="22"/>
        </w:rPr>
        <w:t>dando publicidade e transparência à ação regulatória</w:t>
      </w:r>
      <w:r>
        <w:rPr>
          <w:rFonts w:ascii="Arial Narrow" w:hAnsi="Arial Narrow" w:cs="Arial"/>
          <w:sz w:val="22"/>
          <w:szCs w:val="22"/>
        </w:rPr>
        <w:t>;</w:t>
      </w:r>
    </w:p>
    <w:p w14:paraId="3B59B914" w14:textId="77777777" w:rsidR="002863B2" w:rsidRPr="00DF4579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8D577F">
        <w:rPr>
          <w:rFonts w:ascii="Arial Narrow" w:hAnsi="Arial Narrow" w:cs="Arial"/>
          <w:sz w:val="22"/>
          <w:szCs w:val="22"/>
        </w:rPr>
        <w:t>Considerando o que consta no processo n° 51/</w:t>
      </w:r>
      <w:r>
        <w:rPr>
          <w:rFonts w:ascii="Arial Narrow" w:hAnsi="Arial Narrow" w:cs="Arial"/>
          <w:sz w:val="22"/>
          <w:szCs w:val="22"/>
        </w:rPr>
        <w:t>20</w:t>
      </w:r>
      <w:r w:rsidRPr="008D577F">
        <w:rPr>
          <w:rFonts w:ascii="Arial Narrow" w:hAnsi="Arial Narrow" w:cs="Arial"/>
          <w:sz w:val="22"/>
          <w:szCs w:val="22"/>
        </w:rPr>
        <w:t>0.</w:t>
      </w:r>
      <w:r>
        <w:rPr>
          <w:rFonts w:ascii="Arial Narrow" w:hAnsi="Arial Narrow" w:cs="Arial"/>
          <w:sz w:val="22"/>
          <w:szCs w:val="22"/>
        </w:rPr>
        <w:t>393</w:t>
      </w:r>
      <w:r w:rsidRPr="008D577F">
        <w:rPr>
          <w:rFonts w:ascii="Arial Narrow" w:hAnsi="Arial Narrow" w:cs="Arial"/>
          <w:sz w:val="22"/>
          <w:szCs w:val="22"/>
        </w:rPr>
        <w:t>/202</w:t>
      </w:r>
      <w:r>
        <w:rPr>
          <w:rFonts w:ascii="Arial Narrow" w:hAnsi="Arial Narrow" w:cs="Arial"/>
          <w:sz w:val="22"/>
          <w:szCs w:val="22"/>
        </w:rPr>
        <w:t>0</w:t>
      </w:r>
      <w:r w:rsidRPr="008D577F">
        <w:rPr>
          <w:rFonts w:ascii="Arial Narrow" w:hAnsi="Arial Narrow" w:cs="Arial"/>
          <w:sz w:val="22"/>
          <w:szCs w:val="22"/>
        </w:rPr>
        <w:t xml:space="preserve"> e na deliberação da Diretoria Executiva lavrada na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D577F">
        <w:rPr>
          <w:rFonts w:ascii="Arial Narrow" w:hAnsi="Arial Narrow" w:cs="Arial"/>
          <w:sz w:val="22"/>
          <w:szCs w:val="22"/>
        </w:rPr>
        <w:t xml:space="preserve">Ata de Reunião Regulatória n° </w:t>
      </w:r>
      <w:r w:rsidRPr="008D577F">
        <w:rPr>
          <w:rFonts w:ascii="Arial Narrow" w:hAnsi="Arial Narrow" w:cs="Arial"/>
          <w:color w:val="FF0000"/>
          <w:sz w:val="22"/>
          <w:szCs w:val="22"/>
        </w:rPr>
        <w:t>XXX</w:t>
      </w:r>
      <w:r w:rsidRPr="008D577F">
        <w:rPr>
          <w:rFonts w:ascii="Arial Narrow" w:hAnsi="Arial Narrow" w:cs="Arial"/>
          <w:sz w:val="22"/>
          <w:szCs w:val="22"/>
        </w:rPr>
        <w:t xml:space="preserve">, de </w:t>
      </w:r>
      <w:r w:rsidRPr="008D577F">
        <w:rPr>
          <w:rFonts w:ascii="Arial Narrow" w:hAnsi="Arial Narrow" w:cs="Arial"/>
          <w:color w:val="FF0000"/>
          <w:sz w:val="22"/>
          <w:szCs w:val="22"/>
        </w:rPr>
        <w:t>XX</w:t>
      </w:r>
      <w:r w:rsidRPr="008D577F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setembro</w:t>
      </w:r>
      <w:r w:rsidRPr="008D577F">
        <w:rPr>
          <w:rFonts w:ascii="Arial Narrow" w:hAnsi="Arial Narrow" w:cs="Arial"/>
          <w:sz w:val="22"/>
          <w:szCs w:val="22"/>
        </w:rPr>
        <w:t xml:space="preserve"> de 2021,</w:t>
      </w:r>
    </w:p>
    <w:p w14:paraId="7C1E0290" w14:textId="77777777" w:rsidR="002863B2" w:rsidRPr="00A312E0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26554766" w14:textId="77777777" w:rsidR="002863B2" w:rsidRPr="00A312E0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30A0DBEA" w14:textId="77777777" w:rsidR="002863B2" w:rsidRPr="00A312E0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A312E0">
        <w:rPr>
          <w:rFonts w:ascii="Arial Narrow" w:hAnsi="Arial Narrow" w:cs="Arial"/>
          <w:b/>
          <w:sz w:val="22"/>
          <w:szCs w:val="22"/>
        </w:rPr>
        <w:t>R E S O L V E:</w:t>
      </w:r>
    </w:p>
    <w:p w14:paraId="26215AE7" w14:textId="77777777" w:rsidR="002863B2" w:rsidRPr="00A312E0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68A920EA" w14:textId="77777777" w:rsidR="002863B2" w:rsidRPr="00A312E0" w:rsidRDefault="002863B2" w:rsidP="002863B2">
      <w:pPr>
        <w:pStyle w:val="NormalWeb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CAPÍTULO I</w:t>
      </w:r>
    </w:p>
    <w:p w14:paraId="3B609869" w14:textId="77777777" w:rsidR="002863B2" w:rsidRPr="00A312E0" w:rsidRDefault="002863B2" w:rsidP="002863B2">
      <w:pPr>
        <w:pStyle w:val="NormalWeb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  <w:shd w:val="clear" w:color="auto" w:fill="FFFFFF"/>
        </w:rPr>
        <w:t xml:space="preserve">DISPOSIÇÕES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GERAIS</w:t>
      </w:r>
    </w:p>
    <w:p w14:paraId="03C3C11A" w14:textId="77777777" w:rsidR="002863B2" w:rsidRPr="00A312E0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07D3A477" w14:textId="58140106" w:rsidR="002863B2" w:rsidRPr="00F34504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i/>
          <w:iCs/>
          <w:sz w:val="22"/>
          <w:szCs w:val="22"/>
          <w:shd w:val="clear" w:color="auto" w:fill="FFFFFF"/>
        </w:rPr>
      </w:pPr>
      <w:r w:rsidRPr="00F34504">
        <w:rPr>
          <w:rFonts w:ascii="Arial Narrow" w:hAnsi="Arial Narrow" w:cs="Arial"/>
          <w:sz w:val="22"/>
          <w:szCs w:val="22"/>
        </w:rPr>
        <w:lastRenderedPageBreak/>
        <w:t xml:space="preserve">Art. 1º </w:t>
      </w:r>
      <w:r w:rsidR="00F34504">
        <w:rPr>
          <w:rFonts w:ascii="Arial Narrow" w:hAnsi="Arial Narrow" w:cs="Arial"/>
          <w:sz w:val="22"/>
          <w:szCs w:val="22"/>
        </w:rPr>
        <w:t>Fica aprovado o regulamento d</w:t>
      </w:r>
      <w:r w:rsidR="00F34504" w:rsidRPr="002863B2">
        <w:rPr>
          <w:rFonts w:ascii="Arial Narrow" w:hAnsi="Arial Narrow" w:cs="Arial"/>
          <w:iCs/>
          <w:sz w:val="22"/>
          <w:szCs w:val="22"/>
          <w:bdr w:val="none" w:sz="0" w:space="0" w:color="auto" w:frame="1"/>
          <w:shd w:val="clear" w:color="auto" w:fill="FFFFFF"/>
        </w:rPr>
        <w:t xml:space="preserve">a </w:t>
      </w:r>
      <w:r w:rsidR="00F34504">
        <w:rPr>
          <w:rFonts w:ascii="Arial Narrow" w:hAnsi="Arial Narrow" w:cs="Arial"/>
          <w:iCs/>
          <w:bdr w:val="none" w:sz="0" w:space="0" w:color="auto" w:frame="1"/>
          <w:shd w:val="clear" w:color="auto" w:fill="FFFFFF"/>
        </w:rPr>
        <w:t xml:space="preserve">exploração </w:t>
      </w:r>
      <w:r w:rsidR="00F34504" w:rsidRPr="002863B2">
        <w:rPr>
          <w:rFonts w:ascii="Arial Narrow" w:hAnsi="Arial Narrow" w:cs="Arial"/>
          <w:iCs/>
          <w:sz w:val="22"/>
          <w:szCs w:val="22"/>
          <w:bdr w:val="none" w:sz="0" w:space="0" w:color="auto" w:frame="1"/>
          <w:shd w:val="clear" w:color="auto" w:fill="FFFFFF"/>
        </w:rPr>
        <w:t xml:space="preserve">de receitas extraordinárias </w:t>
      </w:r>
      <w:r w:rsidR="00F34504" w:rsidRPr="002863B2">
        <w:rPr>
          <w:rFonts w:ascii="Arial Narrow" w:hAnsi="Arial Narrow" w:cs="Arial"/>
          <w:iCs/>
          <w:bdr w:val="none" w:sz="0" w:space="0" w:color="auto" w:frame="1"/>
          <w:shd w:val="clear" w:color="auto" w:fill="FFFFFF"/>
        </w:rPr>
        <w:t xml:space="preserve">nas </w:t>
      </w:r>
      <w:r w:rsidR="00396F4F">
        <w:rPr>
          <w:rFonts w:ascii="Arial Narrow" w:hAnsi="Arial Narrow" w:cs="Arial"/>
          <w:iCs/>
          <w:bdr w:val="none" w:sz="0" w:space="0" w:color="auto" w:frame="1"/>
          <w:shd w:val="clear" w:color="auto" w:fill="FFFFFF"/>
        </w:rPr>
        <w:t xml:space="preserve">concessões de </w:t>
      </w:r>
      <w:r w:rsidR="00FB2CCA">
        <w:rPr>
          <w:rFonts w:ascii="Arial Narrow" w:hAnsi="Arial Narrow" w:cs="Arial"/>
          <w:iCs/>
          <w:bdr w:val="none" w:sz="0" w:space="0" w:color="auto" w:frame="1"/>
          <w:shd w:val="clear" w:color="auto" w:fill="FFFFFF"/>
        </w:rPr>
        <w:t>r</w:t>
      </w:r>
      <w:r w:rsidR="00F34504" w:rsidRPr="002863B2">
        <w:rPr>
          <w:rFonts w:ascii="Arial Narrow" w:hAnsi="Arial Narrow" w:cs="Arial"/>
          <w:iCs/>
          <w:sz w:val="22"/>
          <w:szCs w:val="22"/>
          <w:bdr w:val="none" w:sz="0" w:space="0" w:color="auto" w:frame="1"/>
          <w:shd w:val="clear" w:color="auto" w:fill="FFFFFF"/>
        </w:rPr>
        <w:t xml:space="preserve">odovias </w:t>
      </w:r>
      <w:r w:rsidR="00F34504" w:rsidRPr="002863B2">
        <w:rPr>
          <w:rFonts w:ascii="Arial Narrow" w:hAnsi="Arial Narrow" w:cs="Arial"/>
          <w:iCs/>
          <w:bdr w:val="none" w:sz="0" w:space="0" w:color="auto" w:frame="1"/>
          <w:shd w:val="clear" w:color="auto" w:fill="FFFFFF"/>
        </w:rPr>
        <w:t xml:space="preserve">do Estado </w:t>
      </w:r>
      <w:r w:rsidR="00F34504" w:rsidRPr="002863B2">
        <w:rPr>
          <w:rFonts w:ascii="Arial Narrow" w:hAnsi="Arial Narrow" w:cs="Arial"/>
          <w:iCs/>
          <w:sz w:val="22"/>
          <w:szCs w:val="22"/>
          <w:bdr w:val="none" w:sz="0" w:space="0" w:color="auto" w:frame="1"/>
          <w:shd w:val="clear" w:color="auto" w:fill="FFFFFF"/>
        </w:rPr>
        <w:t>de Mato Grosso do Sul</w:t>
      </w:r>
      <w:r w:rsidR="00F34504">
        <w:rPr>
          <w:rFonts w:ascii="Arial Narrow" w:hAnsi="Arial Narrow" w:cs="Arial"/>
          <w:iCs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D592E8A" w14:textId="77777777" w:rsidR="002863B2" w:rsidRPr="00A312E0" w:rsidRDefault="00662014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Parágrafo único.</w:t>
      </w:r>
      <w:r w:rsidR="002863B2" w:rsidRPr="00A312E0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="002863B2" w:rsidRPr="00A312E0">
        <w:rPr>
          <w:rFonts w:ascii="Arial Narrow" w:hAnsi="Arial Narrow" w:cs="Arial"/>
          <w:sz w:val="22"/>
          <w:szCs w:val="22"/>
        </w:rPr>
        <w:t>Serão consideradas receitas extraordinárias as receitas complementares, acessórias, alternativas e de projetos associados, caracterizadas por fontes que não sejam provenientes da arrecadação de pedágio e de aplicações financeiras.</w:t>
      </w:r>
    </w:p>
    <w:p w14:paraId="415B3EA5" w14:textId="77777777" w:rsidR="002863B2" w:rsidRPr="00A312E0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Art. 2º Para cada projeto gerador de receitas extraordinárias deverá ser celebrado um Contrato de Receita Extraordinária - CRE, entre a concessionária de rodovia e terceiros.</w:t>
      </w:r>
    </w:p>
    <w:p w14:paraId="647F29F7" w14:textId="77777777" w:rsidR="002863B2" w:rsidRPr="00A312E0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 xml:space="preserve">§1º Os </w:t>
      </w:r>
      <w:proofErr w:type="spellStart"/>
      <w:r w:rsidRPr="00A312E0">
        <w:rPr>
          <w:rFonts w:ascii="Arial Narrow" w:hAnsi="Arial Narrow" w:cs="Arial"/>
          <w:sz w:val="22"/>
          <w:szCs w:val="22"/>
        </w:rPr>
        <w:t>CRE's</w:t>
      </w:r>
      <w:proofErr w:type="spellEnd"/>
      <w:r w:rsidRPr="00A312E0">
        <w:rPr>
          <w:rFonts w:ascii="Arial Narrow" w:hAnsi="Arial Narrow" w:cs="Arial"/>
          <w:sz w:val="22"/>
          <w:szCs w:val="22"/>
        </w:rPr>
        <w:t xml:space="preserve"> reger-se-ão pelo direito privado, não se estabelecendo qualquer relação jurídica entre os terceiros e a Agepan.</w:t>
      </w:r>
    </w:p>
    <w:p w14:paraId="7D79C364" w14:textId="77777777" w:rsidR="002863B2" w:rsidRPr="00A312E0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§2º Os contratos serão de natureza precária e terão vigência limitada ao término do contrato de concessão.</w:t>
      </w:r>
    </w:p>
    <w:p w14:paraId="4349CB4A" w14:textId="77777777" w:rsidR="002863B2" w:rsidRPr="00A312E0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Art. 3º No CRE deverão estar discriminados, no mínimo:</w:t>
      </w:r>
    </w:p>
    <w:p w14:paraId="0108A862" w14:textId="77777777" w:rsidR="002863B2" w:rsidRPr="00A312E0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 xml:space="preserve">I - </w:t>
      </w:r>
      <w:proofErr w:type="gramStart"/>
      <w:r w:rsidRPr="00A312E0">
        <w:rPr>
          <w:rFonts w:ascii="Arial Narrow" w:hAnsi="Arial Narrow" w:cs="Arial"/>
          <w:sz w:val="22"/>
          <w:szCs w:val="22"/>
        </w:rPr>
        <w:t>vigência</w:t>
      </w:r>
      <w:proofErr w:type="gramEnd"/>
      <w:r w:rsidRPr="00A312E0">
        <w:rPr>
          <w:rFonts w:ascii="Arial Narrow" w:hAnsi="Arial Narrow" w:cs="Arial"/>
          <w:sz w:val="22"/>
          <w:szCs w:val="22"/>
        </w:rPr>
        <w:t xml:space="preserve"> do contrato;</w:t>
      </w:r>
    </w:p>
    <w:p w14:paraId="44306A8E" w14:textId="77777777" w:rsidR="002863B2" w:rsidRPr="00A312E0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 xml:space="preserve">II - </w:t>
      </w:r>
      <w:proofErr w:type="gramStart"/>
      <w:r w:rsidRPr="00A312E0">
        <w:rPr>
          <w:rFonts w:ascii="Arial Narrow" w:hAnsi="Arial Narrow" w:cs="Arial"/>
          <w:sz w:val="22"/>
          <w:szCs w:val="22"/>
        </w:rPr>
        <w:t>objeto</w:t>
      </w:r>
      <w:proofErr w:type="gramEnd"/>
      <w:r w:rsidRPr="00A312E0">
        <w:rPr>
          <w:rFonts w:ascii="Arial Narrow" w:hAnsi="Arial Narrow" w:cs="Arial"/>
          <w:sz w:val="22"/>
          <w:szCs w:val="22"/>
        </w:rPr>
        <w:t xml:space="preserve"> do contrato;</w:t>
      </w:r>
    </w:p>
    <w:p w14:paraId="107490D9" w14:textId="77777777" w:rsidR="002863B2" w:rsidRPr="00A312E0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III - valor do contrato e as condições de reajustamento;</w:t>
      </w:r>
    </w:p>
    <w:p w14:paraId="62E589CE" w14:textId="77777777" w:rsidR="002863B2" w:rsidRPr="00A312E0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 xml:space="preserve">IV - </w:t>
      </w:r>
      <w:proofErr w:type="gramStart"/>
      <w:r w:rsidRPr="00A312E0">
        <w:rPr>
          <w:rFonts w:ascii="Arial Narrow" w:hAnsi="Arial Narrow" w:cs="Arial"/>
          <w:sz w:val="22"/>
          <w:szCs w:val="22"/>
        </w:rPr>
        <w:t>forma</w:t>
      </w:r>
      <w:proofErr w:type="gramEnd"/>
      <w:r w:rsidRPr="00A312E0">
        <w:rPr>
          <w:rFonts w:ascii="Arial Narrow" w:hAnsi="Arial Narrow" w:cs="Arial"/>
          <w:sz w:val="22"/>
          <w:szCs w:val="22"/>
        </w:rPr>
        <w:t xml:space="preserve"> de pagamento;</w:t>
      </w:r>
    </w:p>
    <w:p w14:paraId="1AE48DCA" w14:textId="77777777" w:rsidR="002863B2" w:rsidRPr="00A312E0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 xml:space="preserve">V - </w:t>
      </w:r>
      <w:proofErr w:type="gramStart"/>
      <w:r w:rsidRPr="00A312E0">
        <w:rPr>
          <w:rFonts w:ascii="Arial Narrow" w:hAnsi="Arial Narrow" w:cs="Arial"/>
          <w:sz w:val="22"/>
          <w:szCs w:val="22"/>
        </w:rPr>
        <w:t>assunção</w:t>
      </w:r>
      <w:proofErr w:type="gramEnd"/>
      <w:r w:rsidRPr="00A312E0">
        <w:rPr>
          <w:rFonts w:ascii="Arial Narrow" w:hAnsi="Arial Narrow" w:cs="Arial"/>
          <w:sz w:val="22"/>
          <w:szCs w:val="22"/>
        </w:rPr>
        <w:t xml:space="preserve"> de despesa do concessionário por terceiros, se houver; e</w:t>
      </w:r>
    </w:p>
    <w:p w14:paraId="4D202BB7" w14:textId="77777777" w:rsidR="002863B2" w:rsidRPr="00A312E0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VI - direitos e obrigações das partes.</w:t>
      </w:r>
    </w:p>
    <w:p w14:paraId="6639E132" w14:textId="77777777" w:rsidR="002863B2" w:rsidRPr="00A312E0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 xml:space="preserve">Art. 4º </w:t>
      </w:r>
      <w:commentRangeStart w:id="1"/>
      <w:r w:rsidRPr="00A312E0">
        <w:rPr>
          <w:rFonts w:ascii="Arial Narrow" w:hAnsi="Arial Narrow" w:cs="Arial"/>
          <w:sz w:val="22"/>
          <w:szCs w:val="22"/>
        </w:rPr>
        <w:t xml:space="preserve">Será revertida à modicidade tarifária </w:t>
      </w:r>
      <w:r w:rsidRPr="00802021">
        <w:rPr>
          <w:rFonts w:ascii="Arial Narrow" w:hAnsi="Arial Narrow" w:cs="Arial"/>
          <w:sz w:val="22"/>
          <w:szCs w:val="22"/>
        </w:rPr>
        <w:t>o montante equivalente a 1</w:t>
      </w:r>
      <w:r>
        <w:rPr>
          <w:rFonts w:ascii="Arial Narrow" w:hAnsi="Arial Narrow" w:cs="Arial"/>
          <w:sz w:val="22"/>
          <w:szCs w:val="22"/>
        </w:rPr>
        <w:t>0</w:t>
      </w:r>
      <w:r w:rsidRPr="00802021">
        <w:rPr>
          <w:rFonts w:ascii="Arial Narrow" w:hAnsi="Arial Narrow" w:cs="Arial"/>
          <w:sz w:val="22"/>
          <w:szCs w:val="22"/>
        </w:rPr>
        <w:t>% (</w:t>
      </w:r>
      <w:r>
        <w:rPr>
          <w:rFonts w:ascii="Arial Narrow" w:hAnsi="Arial Narrow" w:cs="Arial"/>
          <w:sz w:val="22"/>
          <w:szCs w:val="22"/>
        </w:rPr>
        <w:t>dez</w:t>
      </w:r>
      <w:r w:rsidRPr="00802021">
        <w:rPr>
          <w:rFonts w:ascii="Arial Narrow" w:hAnsi="Arial Narrow" w:cs="Arial"/>
          <w:sz w:val="22"/>
          <w:szCs w:val="22"/>
        </w:rPr>
        <w:t xml:space="preserve"> por cento) da receita bruta</w:t>
      </w:r>
      <w:r>
        <w:rPr>
          <w:rFonts w:ascii="Arial Narrow" w:hAnsi="Arial Narrow" w:cs="Arial"/>
          <w:sz w:val="22"/>
          <w:szCs w:val="22"/>
        </w:rPr>
        <w:t xml:space="preserve"> do CRE</w:t>
      </w:r>
      <w:r w:rsidRPr="00802021">
        <w:rPr>
          <w:rFonts w:ascii="Arial Narrow" w:hAnsi="Arial Narrow" w:cs="Arial"/>
          <w:sz w:val="22"/>
          <w:szCs w:val="22"/>
        </w:rPr>
        <w:t>.</w:t>
      </w:r>
      <w:commentRangeEnd w:id="1"/>
      <w:r>
        <w:rPr>
          <w:rStyle w:val="Refdecomentrio"/>
          <w:rFonts w:asciiTheme="minorHAnsi" w:eastAsiaTheme="minorHAnsi" w:hAnsiTheme="minorHAnsi" w:cstheme="minorBidi"/>
          <w:lang w:eastAsia="en-US"/>
        </w:rPr>
        <w:commentReference w:id="1"/>
      </w:r>
    </w:p>
    <w:p w14:paraId="55813393" w14:textId="77777777" w:rsidR="002863B2" w:rsidRPr="00802021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802021">
        <w:rPr>
          <w:rFonts w:ascii="Arial Narrow" w:hAnsi="Arial Narrow" w:cs="Arial"/>
          <w:sz w:val="22"/>
          <w:szCs w:val="22"/>
        </w:rPr>
        <w:t>Art. 5º Nas negociações entre a concessionária da rodovia e terceiros visando à celebração do CRE, não havendo acordo, ou mesmo, se uma das partes se julgar prejudicada no decorrer das negociações, é facultado solicitar mediação da Agepan.</w:t>
      </w:r>
    </w:p>
    <w:p w14:paraId="35A78B0D" w14:textId="77777777" w:rsidR="002863B2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Art. 6º A concessionária da rodovia deverá organizar e manter atualizado o registro contábil e cadastro de todos os usos, ocupações e prestação de serviços na faixa de domínio, os contratos de publicidade e todas as notas de serviço e contratos oriundos de projetos associados.</w:t>
      </w:r>
    </w:p>
    <w:p w14:paraId="27211A11" w14:textId="3626032E" w:rsidR="002863B2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 xml:space="preserve">Art. </w:t>
      </w:r>
      <w:r w:rsidR="00D73A99">
        <w:rPr>
          <w:rFonts w:ascii="Arial Narrow" w:hAnsi="Arial Narrow" w:cs="Arial"/>
          <w:sz w:val="22"/>
          <w:szCs w:val="22"/>
        </w:rPr>
        <w:t>7</w:t>
      </w:r>
      <w:r w:rsidRPr="00A312E0">
        <w:rPr>
          <w:rFonts w:ascii="Arial Narrow" w:hAnsi="Arial Narrow" w:cs="Arial"/>
          <w:sz w:val="22"/>
          <w:szCs w:val="22"/>
        </w:rPr>
        <w:t xml:space="preserve">º A concessionária da rodovia deverá encaminhar à Agepan cópia do CRE em até 30 (trinta) dias após a assinatura deste.   </w:t>
      </w:r>
    </w:p>
    <w:p w14:paraId="3BF1C4D5" w14:textId="71945E6C" w:rsidR="002863B2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 xml:space="preserve">Art. </w:t>
      </w:r>
      <w:r w:rsidR="00D73A99">
        <w:rPr>
          <w:rFonts w:ascii="Arial Narrow" w:hAnsi="Arial Narrow" w:cs="Arial"/>
          <w:sz w:val="22"/>
          <w:szCs w:val="22"/>
        </w:rPr>
        <w:t>8</w:t>
      </w:r>
      <w:r w:rsidRPr="00A312E0">
        <w:rPr>
          <w:rFonts w:ascii="Arial Narrow" w:hAnsi="Arial Narrow" w:cs="Arial"/>
          <w:sz w:val="22"/>
          <w:szCs w:val="22"/>
        </w:rPr>
        <w:t>º As atividades decorrentes dos contratos de receitas extraordinárias não podem prejudicar o cumprimento das obrigações do contrato de concessão.</w:t>
      </w:r>
    </w:p>
    <w:p w14:paraId="4519043B" w14:textId="77777777" w:rsidR="002863B2" w:rsidRPr="00D61E91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D61E91">
        <w:rPr>
          <w:rFonts w:ascii="Arial Narrow" w:hAnsi="Arial Narrow" w:cs="Arial"/>
          <w:sz w:val="22"/>
          <w:szCs w:val="22"/>
        </w:rPr>
        <w:lastRenderedPageBreak/>
        <w:t xml:space="preserve">Art. 9º Os demonstrativos da composição das receitas extraordinárias, dos tributos incidentes e dos custos associados do exercício anterior, apurados pelo regime de competência, deverão ser discriminados individualmente e encaminhados à Agepan em </w:t>
      </w:r>
      <w:commentRangeStart w:id="2"/>
      <w:r w:rsidRPr="00D61E91">
        <w:rPr>
          <w:rFonts w:ascii="Arial Narrow" w:hAnsi="Arial Narrow" w:cs="Arial"/>
          <w:sz w:val="22"/>
          <w:szCs w:val="22"/>
        </w:rPr>
        <w:t>até 90 (noventa) dias após o encerramento do exercício anual da concessão.</w:t>
      </w:r>
      <w:commentRangeEnd w:id="2"/>
      <w:r>
        <w:rPr>
          <w:rStyle w:val="Refdecomentrio"/>
          <w:rFonts w:asciiTheme="minorHAnsi" w:eastAsiaTheme="minorHAnsi" w:hAnsiTheme="minorHAnsi" w:cstheme="minorBidi"/>
          <w:lang w:eastAsia="en-US"/>
        </w:rPr>
        <w:commentReference w:id="2"/>
      </w:r>
    </w:p>
    <w:p w14:paraId="6BC43801" w14:textId="22EE9781" w:rsidR="002863B2" w:rsidRPr="00A312E0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Art.1</w:t>
      </w:r>
      <w:r w:rsidR="00D73A99">
        <w:rPr>
          <w:rFonts w:ascii="Arial Narrow" w:hAnsi="Arial Narrow" w:cs="Arial"/>
          <w:sz w:val="22"/>
          <w:szCs w:val="22"/>
        </w:rPr>
        <w:t>0</w:t>
      </w:r>
      <w:r w:rsidRPr="00A312E0">
        <w:rPr>
          <w:rFonts w:ascii="Arial Narrow" w:hAnsi="Arial Narrow" w:cs="Arial"/>
          <w:sz w:val="22"/>
          <w:szCs w:val="22"/>
        </w:rPr>
        <w:t>. A concessionária responsabilizar-se-á em manter a faixa de domínio, ocupada por terceiros, nas mesmas condições e parâmetros de desempenho do trecho concedido, sob pena de multas e penalidades previstas.</w:t>
      </w:r>
    </w:p>
    <w:p w14:paraId="61A55FC5" w14:textId="7AB3D3FA" w:rsidR="002863B2" w:rsidRPr="00A312E0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Art. 1</w:t>
      </w:r>
      <w:r w:rsidR="00D73A99">
        <w:rPr>
          <w:rFonts w:ascii="Arial Narrow" w:hAnsi="Arial Narrow" w:cs="Arial"/>
          <w:sz w:val="22"/>
          <w:szCs w:val="22"/>
        </w:rPr>
        <w:t>1</w:t>
      </w:r>
      <w:r w:rsidRPr="00A312E0">
        <w:rPr>
          <w:rFonts w:ascii="Arial Narrow" w:hAnsi="Arial Narrow" w:cs="Arial"/>
          <w:sz w:val="22"/>
          <w:szCs w:val="22"/>
        </w:rPr>
        <w:t>. Qualquer benfeitoria resultante da utilização da faixa de domínio não gera direito a indenização.</w:t>
      </w:r>
    </w:p>
    <w:p w14:paraId="2057E781" w14:textId="77777777" w:rsidR="002863B2" w:rsidRPr="00A312E0" w:rsidRDefault="002863B2" w:rsidP="002863B2">
      <w:pPr>
        <w:pStyle w:val="NormalWeb"/>
        <w:spacing w:after="0"/>
        <w:jc w:val="center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CAPÍTULO II</w:t>
      </w:r>
    </w:p>
    <w:p w14:paraId="6758F8A8" w14:textId="77777777" w:rsidR="002863B2" w:rsidRPr="00A312E0" w:rsidRDefault="002863B2" w:rsidP="002863B2">
      <w:pPr>
        <w:pStyle w:val="NormalWeb"/>
        <w:spacing w:after="0"/>
        <w:jc w:val="center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RECEITAS EXTRAORDINÁRIAS ADVINDAS DE PUBLICIDADE E PROPAGANDA</w:t>
      </w:r>
    </w:p>
    <w:p w14:paraId="5B483918" w14:textId="7FE52ADB" w:rsidR="002863B2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Art. 1</w:t>
      </w:r>
      <w:r w:rsidR="00D73A99">
        <w:rPr>
          <w:rFonts w:ascii="Arial Narrow" w:hAnsi="Arial Narrow" w:cs="Arial"/>
          <w:sz w:val="22"/>
          <w:szCs w:val="22"/>
        </w:rPr>
        <w:t>2</w:t>
      </w:r>
      <w:r w:rsidRPr="00A312E0">
        <w:rPr>
          <w:rFonts w:ascii="Arial Narrow" w:hAnsi="Arial Narrow" w:cs="Arial"/>
          <w:sz w:val="22"/>
          <w:szCs w:val="22"/>
        </w:rPr>
        <w:t>. O contrato de publicidade e propaganda deverá especificar o anunciante e o produto/serviço anunciado, de forma que seja possível fazer a identificação de cada publicidade e propaganda negociada na concessão.</w:t>
      </w:r>
    </w:p>
    <w:p w14:paraId="7CC3356B" w14:textId="77777777" w:rsidR="002863B2" w:rsidRPr="00C24A7B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C24A7B">
        <w:rPr>
          <w:rFonts w:ascii="Arial Narrow" w:hAnsi="Arial Narrow" w:cs="Arial"/>
          <w:sz w:val="22"/>
          <w:szCs w:val="22"/>
        </w:rPr>
        <w:t>Parágrafo único. É permitida a transferência a terceiros da exploração de publicidade e propaganda na faixa de domínio da rodovia.</w:t>
      </w:r>
    </w:p>
    <w:p w14:paraId="67E532B2" w14:textId="3843977B" w:rsidR="002863B2" w:rsidRPr="00A312E0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Art. 1</w:t>
      </w:r>
      <w:r w:rsidR="00D73A99">
        <w:rPr>
          <w:rFonts w:ascii="Arial Narrow" w:hAnsi="Arial Narrow" w:cs="Arial"/>
          <w:sz w:val="22"/>
          <w:szCs w:val="22"/>
        </w:rPr>
        <w:t>3</w:t>
      </w:r>
      <w:r w:rsidRPr="00A312E0">
        <w:rPr>
          <w:rFonts w:ascii="Arial Narrow" w:hAnsi="Arial Narrow" w:cs="Arial"/>
          <w:sz w:val="22"/>
          <w:szCs w:val="22"/>
        </w:rPr>
        <w:t>. Os espaços publicitários ou outra atividade de publicidade e propaganda deverão ser especificados no contrato de forma detalhada, individualmente por espaço e/ou atividade.</w:t>
      </w:r>
    </w:p>
    <w:p w14:paraId="6DEA8EC6" w14:textId="57CBB110" w:rsidR="002863B2" w:rsidRPr="00C24A7B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C24A7B">
        <w:rPr>
          <w:rFonts w:ascii="Arial Narrow" w:hAnsi="Arial Narrow" w:cs="Arial"/>
          <w:sz w:val="22"/>
          <w:szCs w:val="22"/>
        </w:rPr>
        <w:t>Art. 1</w:t>
      </w:r>
      <w:r w:rsidR="00D73A99">
        <w:rPr>
          <w:rFonts w:ascii="Arial Narrow" w:hAnsi="Arial Narrow" w:cs="Arial"/>
          <w:sz w:val="22"/>
          <w:szCs w:val="22"/>
        </w:rPr>
        <w:t>4</w:t>
      </w:r>
      <w:r w:rsidRPr="00C24A7B">
        <w:rPr>
          <w:rFonts w:ascii="Arial Narrow" w:hAnsi="Arial Narrow" w:cs="Arial"/>
          <w:sz w:val="22"/>
          <w:szCs w:val="22"/>
        </w:rPr>
        <w:t>. Os valores estabelecidos entre as partes deverão ser declarados na celebração do contrato e refletir o valor pago pelo anunciante final da publicidade.</w:t>
      </w:r>
    </w:p>
    <w:p w14:paraId="5A743099" w14:textId="77777777" w:rsidR="002863B2" w:rsidRPr="00C24A7B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C24A7B">
        <w:rPr>
          <w:rFonts w:ascii="Arial Narrow" w:hAnsi="Arial Narrow" w:cs="Arial"/>
          <w:sz w:val="22"/>
          <w:szCs w:val="22"/>
        </w:rPr>
        <w:t>§1º Entende-se como anunciante final a pessoa física/jurídica que tenha o seu produto, serviço ou imagem expostos, bem como a agência publicitária que negocie por ela.</w:t>
      </w:r>
    </w:p>
    <w:p w14:paraId="3679425D" w14:textId="77777777" w:rsidR="002863B2" w:rsidRPr="00C24A7B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C24A7B">
        <w:rPr>
          <w:rFonts w:ascii="Arial Narrow" w:hAnsi="Arial Narrow" w:cs="Arial"/>
          <w:sz w:val="22"/>
          <w:szCs w:val="22"/>
        </w:rPr>
        <w:t>§2º Não devem ser considerados como custos associados às receitas extraordinárias oriundas de publicidade e propagandas, eventuais valores cobrados por intermediários entre a concessionária e o anunciante final.</w:t>
      </w:r>
    </w:p>
    <w:p w14:paraId="64F3A906" w14:textId="77777777" w:rsidR="002863B2" w:rsidRPr="00A312E0" w:rsidRDefault="002863B2" w:rsidP="002863B2">
      <w:pPr>
        <w:pStyle w:val="NormalWeb"/>
        <w:spacing w:after="0"/>
        <w:jc w:val="center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CAPÍTULO IV</w:t>
      </w:r>
    </w:p>
    <w:p w14:paraId="72A830B4" w14:textId="77777777" w:rsidR="002863B2" w:rsidRPr="00C24A7B" w:rsidRDefault="002863B2" w:rsidP="002863B2">
      <w:pPr>
        <w:pStyle w:val="NormalWeb"/>
        <w:spacing w:after="0"/>
        <w:jc w:val="center"/>
        <w:textAlignment w:val="baseline"/>
        <w:rPr>
          <w:rFonts w:ascii="Arial Narrow" w:hAnsi="Arial Narrow" w:cs="Arial"/>
          <w:sz w:val="22"/>
          <w:szCs w:val="22"/>
        </w:rPr>
      </w:pPr>
      <w:r w:rsidRPr="00C24A7B">
        <w:rPr>
          <w:rFonts w:ascii="Arial Narrow" w:hAnsi="Arial Narrow" w:cs="Arial"/>
          <w:sz w:val="22"/>
          <w:szCs w:val="22"/>
        </w:rPr>
        <w:t>RECEITAS EXTRAORDINÁRIAS ADVINDAS DE PROJETOS ASSOCIADOS</w:t>
      </w:r>
    </w:p>
    <w:p w14:paraId="39616E50" w14:textId="1725607C" w:rsidR="002863B2" w:rsidRPr="00C24A7B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C24A7B">
        <w:rPr>
          <w:rFonts w:ascii="Arial Narrow" w:hAnsi="Arial Narrow" w:cs="Arial"/>
          <w:sz w:val="22"/>
          <w:szCs w:val="22"/>
        </w:rPr>
        <w:t>Art. 1</w:t>
      </w:r>
      <w:r w:rsidR="00D73A99">
        <w:rPr>
          <w:rFonts w:ascii="Arial Narrow" w:hAnsi="Arial Narrow" w:cs="Arial"/>
          <w:sz w:val="22"/>
          <w:szCs w:val="22"/>
        </w:rPr>
        <w:t>5</w:t>
      </w:r>
      <w:r w:rsidRPr="00C24A7B">
        <w:rPr>
          <w:rFonts w:ascii="Arial Narrow" w:hAnsi="Arial Narrow" w:cs="Arial"/>
          <w:sz w:val="22"/>
          <w:szCs w:val="22"/>
        </w:rPr>
        <w:t>. Definem-se, para fins desta Portaria, como receitas extraordinárias advindas de projetos associados, todas aquelas provenientes de serviços prestados pela concessionária a terceiros e que não fazem parte do objeto do contrato de concessão.</w:t>
      </w:r>
    </w:p>
    <w:p w14:paraId="69D1D5E4" w14:textId="7DE5142B" w:rsidR="002863B2" w:rsidRPr="00C24A7B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C24A7B">
        <w:rPr>
          <w:rFonts w:ascii="Arial Narrow" w:hAnsi="Arial Narrow" w:cs="Arial"/>
          <w:sz w:val="22"/>
          <w:szCs w:val="22"/>
        </w:rPr>
        <w:t>Art. 1</w:t>
      </w:r>
      <w:r w:rsidR="00D73A99">
        <w:rPr>
          <w:rFonts w:ascii="Arial Narrow" w:hAnsi="Arial Narrow" w:cs="Arial"/>
          <w:sz w:val="22"/>
          <w:szCs w:val="22"/>
        </w:rPr>
        <w:t>6</w:t>
      </w:r>
      <w:r w:rsidRPr="00C24A7B">
        <w:rPr>
          <w:rFonts w:ascii="Arial Narrow" w:hAnsi="Arial Narrow" w:cs="Arial"/>
          <w:sz w:val="22"/>
          <w:szCs w:val="22"/>
        </w:rPr>
        <w:t>. Os planos de exploração de projetos associados serão analisados pela concessionária e encaminhados à Agepan para análise e eventual publicação da autorização.</w:t>
      </w:r>
    </w:p>
    <w:p w14:paraId="32077C12" w14:textId="7E771661" w:rsidR="002863B2" w:rsidRPr="00F8121D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</w:rPr>
      </w:pPr>
      <w:r w:rsidRPr="00C24A7B">
        <w:rPr>
          <w:rFonts w:ascii="Arial Narrow" w:hAnsi="Arial Narrow" w:cs="Arial"/>
          <w:sz w:val="22"/>
          <w:szCs w:val="22"/>
        </w:rPr>
        <w:lastRenderedPageBreak/>
        <w:t xml:space="preserve">Art. </w:t>
      </w:r>
      <w:r w:rsidR="00D73A99">
        <w:rPr>
          <w:rFonts w:ascii="Arial Narrow" w:hAnsi="Arial Narrow" w:cs="Arial"/>
          <w:sz w:val="22"/>
          <w:szCs w:val="22"/>
        </w:rPr>
        <w:t>17</w:t>
      </w:r>
      <w:r w:rsidRPr="00C24A7B">
        <w:rPr>
          <w:rFonts w:ascii="Arial Narrow" w:hAnsi="Arial Narrow" w:cs="Arial"/>
          <w:sz w:val="22"/>
          <w:szCs w:val="22"/>
        </w:rPr>
        <w:t>. Nos casos em que o prazo de execução de determinada obra extrapolar aquele inicialmente definido no CRE, a concessionária deverá solicitar à Agepan autorização para prorrogação do prazo</w:t>
      </w:r>
      <w:r w:rsidRPr="00C24A7B">
        <w:rPr>
          <w:rFonts w:ascii="Arial Narrow" w:hAnsi="Arial Narrow" w:cs="Arial"/>
          <w:color w:val="FF0000"/>
          <w:sz w:val="22"/>
          <w:szCs w:val="22"/>
        </w:rPr>
        <w:t>.</w:t>
      </w:r>
      <w:r w:rsidRPr="00F8121D">
        <w:rPr>
          <w:rFonts w:ascii="Arial Narrow" w:hAnsi="Arial Narrow" w:cs="Arial"/>
          <w:color w:val="FF0000"/>
          <w:sz w:val="22"/>
          <w:szCs w:val="22"/>
        </w:rPr>
        <w:t xml:space="preserve"> </w:t>
      </w:r>
    </w:p>
    <w:p w14:paraId="642F9C1F" w14:textId="77777777" w:rsidR="002863B2" w:rsidRPr="00A312E0" w:rsidRDefault="002863B2" w:rsidP="002863B2">
      <w:pPr>
        <w:pStyle w:val="NormalWeb"/>
        <w:spacing w:after="0"/>
        <w:jc w:val="center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CAPÍTULO V</w:t>
      </w:r>
    </w:p>
    <w:p w14:paraId="11854C72" w14:textId="77777777" w:rsidR="002863B2" w:rsidRPr="00A312E0" w:rsidRDefault="002863B2" w:rsidP="002863B2">
      <w:pPr>
        <w:pStyle w:val="NormalWeb"/>
        <w:spacing w:after="0"/>
        <w:jc w:val="center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>DISPOSIÇÕES FINAIS</w:t>
      </w:r>
    </w:p>
    <w:p w14:paraId="41D27C91" w14:textId="2869EBDF" w:rsidR="002863B2" w:rsidRPr="008D577F" w:rsidRDefault="002863B2" w:rsidP="002863B2">
      <w:pPr>
        <w:pStyle w:val="NormalWeb"/>
        <w:spacing w:after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8D577F">
        <w:rPr>
          <w:rFonts w:ascii="Arial Narrow" w:hAnsi="Arial Narrow" w:cs="Arial"/>
          <w:sz w:val="22"/>
          <w:szCs w:val="22"/>
        </w:rPr>
        <w:t>Art. 1</w:t>
      </w:r>
      <w:r w:rsidR="00D73A99">
        <w:rPr>
          <w:rFonts w:ascii="Arial Narrow" w:hAnsi="Arial Narrow" w:cs="Arial"/>
          <w:sz w:val="22"/>
          <w:szCs w:val="22"/>
        </w:rPr>
        <w:t>8</w:t>
      </w:r>
      <w:r w:rsidRPr="008D577F">
        <w:rPr>
          <w:rFonts w:ascii="Arial Narrow" w:hAnsi="Arial Narrow" w:cs="Arial"/>
          <w:sz w:val="22"/>
          <w:szCs w:val="22"/>
        </w:rPr>
        <w:t>. Os casos omissos serão resolvidos pela Diretoria Executiva da Agepan.</w:t>
      </w:r>
    </w:p>
    <w:p w14:paraId="4301A7A2" w14:textId="37A87232" w:rsidR="002863B2" w:rsidRPr="00A312E0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312E0">
        <w:rPr>
          <w:rFonts w:ascii="Arial Narrow" w:hAnsi="Arial Narrow" w:cs="Arial"/>
          <w:sz w:val="22"/>
          <w:szCs w:val="22"/>
        </w:rPr>
        <w:t xml:space="preserve">Art. </w:t>
      </w:r>
      <w:r w:rsidR="00D73A99">
        <w:rPr>
          <w:rFonts w:ascii="Arial Narrow" w:hAnsi="Arial Narrow" w:cs="Arial"/>
          <w:sz w:val="22"/>
          <w:szCs w:val="22"/>
        </w:rPr>
        <w:t>19</w:t>
      </w:r>
      <w:r w:rsidRPr="00A312E0">
        <w:rPr>
          <w:rFonts w:ascii="Arial Narrow" w:hAnsi="Arial Narrow" w:cs="Arial"/>
          <w:sz w:val="22"/>
          <w:szCs w:val="22"/>
        </w:rPr>
        <w:t xml:space="preserve">. Esta Portaria entra em vigor na data de sua publicação. </w:t>
      </w:r>
    </w:p>
    <w:p w14:paraId="3188CD57" w14:textId="5431A72E" w:rsidR="002863B2" w:rsidRDefault="002863B2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0FE76056" w14:textId="3A6787CD" w:rsidR="00D73A99" w:rsidRDefault="00D73A99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30D1A508" w14:textId="77777777" w:rsidR="00D73A99" w:rsidRPr="00A312E0" w:rsidRDefault="00D73A99" w:rsidP="002863B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1A6C3FEE" w14:textId="530FD33F" w:rsidR="00FF773A" w:rsidRDefault="00FF773A"/>
    <w:p w14:paraId="2128013D" w14:textId="53FF814D" w:rsidR="00F20F06" w:rsidRPr="00F20F06" w:rsidRDefault="00F20F06" w:rsidP="00F20F06">
      <w:pPr>
        <w:spacing w:after="0" w:line="240" w:lineRule="auto"/>
        <w:jc w:val="center"/>
        <w:rPr>
          <w:rFonts w:ascii="Arial Narrow" w:hAnsi="Arial Narrow"/>
        </w:rPr>
      </w:pPr>
      <w:r w:rsidRPr="00F20F06">
        <w:rPr>
          <w:rFonts w:ascii="Arial Narrow" w:hAnsi="Arial Narrow"/>
        </w:rPr>
        <w:t>Carlos Alberto de Assis</w:t>
      </w:r>
    </w:p>
    <w:p w14:paraId="0C104144" w14:textId="100898D1" w:rsidR="00F20F06" w:rsidRDefault="00F20F06" w:rsidP="00F20F06">
      <w:pPr>
        <w:spacing w:after="0" w:line="240" w:lineRule="auto"/>
        <w:jc w:val="center"/>
      </w:pPr>
      <w:r w:rsidRPr="00F20F06">
        <w:rPr>
          <w:rFonts w:ascii="Arial Narrow" w:hAnsi="Arial Narrow"/>
        </w:rPr>
        <w:t>Diretor-Presidente</w:t>
      </w:r>
    </w:p>
    <w:p w14:paraId="45DD5E3C" w14:textId="77777777" w:rsidR="00FF773A" w:rsidRDefault="00FF773A"/>
    <w:p w14:paraId="5874F64B" w14:textId="77777777" w:rsidR="00FF773A" w:rsidRDefault="00FF773A"/>
    <w:p w14:paraId="1A197490" w14:textId="77777777" w:rsidR="00FF773A" w:rsidRDefault="00FF773A"/>
    <w:p w14:paraId="5D997F91" w14:textId="77777777" w:rsidR="00FF773A" w:rsidRDefault="00FF773A"/>
    <w:p w14:paraId="64BFD3E9" w14:textId="77777777" w:rsidR="00FF773A" w:rsidRDefault="00FF773A"/>
    <w:p w14:paraId="2E31839D" w14:textId="77777777" w:rsidR="00FF773A" w:rsidRDefault="00FF773A"/>
    <w:p w14:paraId="3C92DC14" w14:textId="77777777" w:rsidR="00FF773A" w:rsidRDefault="00FF773A"/>
    <w:p w14:paraId="75AFECBF" w14:textId="77777777" w:rsidR="0051005C" w:rsidRDefault="0051005C"/>
    <w:p w14:paraId="791A4003" w14:textId="77777777" w:rsidR="00F052C8" w:rsidRDefault="00F052C8"/>
    <w:p w14:paraId="7F16B131" w14:textId="77777777" w:rsidR="00F052C8" w:rsidRDefault="00F052C8"/>
    <w:p w14:paraId="2498999E" w14:textId="77777777" w:rsidR="00F052C8" w:rsidRDefault="00F052C8"/>
    <w:p w14:paraId="0D49FCC5" w14:textId="77777777" w:rsidR="00F052C8" w:rsidRDefault="00F052C8"/>
    <w:p w14:paraId="6A72D826" w14:textId="77777777" w:rsidR="00F052C8" w:rsidRDefault="00F052C8"/>
    <w:sectPr w:rsidR="00F052C8" w:rsidSect="00D22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67" w:footer="90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osirene Reggiori Pereira Caldas" w:date="2021-08-22T09:54:00Z" w:initials="RRPC">
    <w:p w14:paraId="109F609F" w14:textId="68641283" w:rsidR="002863B2" w:rsidRDefault="002863B2" w:rsidP="002863B2">
      <w:pPr>
        <w:pStyle w:val="Textodecomentrio"/>
      </w:pPr>
      <w:r>
        <w:rPr>
          <w:rStyle w:val="Refdecomentrio"/>
        </w:rPr>
        <w:annotationRef/>
      </w:r>
      <w:r>
        <w:t xml:space="preserve">A proposta atribui maior incentivo aos concessionários à exploração da faixa de domínio e de outras fontes de receitas </w:t>
      </w:r>
      <w:r w:rsidR="008D3CEA">
        <w:t>extraordinárias. Também</w:t>
      </w:r>
      <w:r>
        <w:t>, estabelece método prático na apuração dos valores a serem revertidos à modicidade tarifária.</w:t>
      </w:r>
    </w:p>
    <w:p w14:paraId="4D4A7878" w14:textId="2832F089" w:rsidR="002863B2" w:rsidRDefault="002863B2" w:rsidP="002863B2">
      <w:pPr>
        <w:pStyle w:val="Textodecomentrio"/>
      </w:pPr>
      <w:r>
        <w:t xml:space="preserve">Tal fato, vai de encontro </w:t>
      </w:r>
      <w:r w:rsidR="008D3CEA">
        <w:t>à</w:t>
      </w:r>
      <w:r>
        <w:t xml:space="preserve">s diretrizes da Política de Modernização da Infraestrutura Federal de Transporte Rodoviário – </w:t>
      </w:r>
      <w:proofErr w:type="spellStart"/>
      <w:r>
        <w:t>Inov@BR</w:t>
      </w:r>
      <w:proofErr w:type="spellEnd"/>
      <w:r>
        <w:t xml:space="preserve"> (Decreto nº 10.648, de 12 de março de 2021)</w:t>
      </w:r>
    </w:p>
  </w:comment>
  <w:comment w:id="2" w:author="Rosirene Reggiori Pereira Caldas" w:date="2021-08-22T09:18:00Z" w:initials="RRPC">
    <w:p w14:paraId="3CFC8316" w14:textId="77777777" w:rsidR="002863B2" w:rsidRDefault="002863B2" w:rsidP="002863B2">
      <w:pPr>
        <w:pStyle w:val="Textodecomentrio"/>
      </w:pPr>
      <w:r>
        <w:rPr>
          <w:rStyle w:val="Refdecomentrio"/>
        </w:rPr>
        <w:annotationRef/>
      </w:r>
      <w:r>
        <w:t xml:space="preserve">Prazo compatível com o estabelecido no Anexo 6 - </w:t>
      </w:r>
      <w:r>
        <w:rPr>
          <w:sz w:val="28"/>
          <w:szCs w:val="28"/>
        </w:rPr>
        <w:t>Procedimento para as revisões ordinárias, extraordinárias e quinquenais do equilíbrio econômico-financeiro do contrato (item 1.5)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4A7878" w15:done="0"/>
  <w15:commentEx w15:paraId="3CFC831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BD4B8" w14:textId="77777777" w:rsidR="006600CF" w:rsidRDefault="006600CF" w:rsidP="00B66FAB">
      <w:pPr>
        <w:spacing w:after="0" w:line="240" w:lineRule="auto"/>
      </w:pPr>
      <w:r>
        <w:separator/>
      </w:r>
    </w:p>
  </w:endnote>
  <w:endnote w:type="continuationSeparator" w:id="0">
    <w:p w14:paraId="429D6A9F" w14:textId="77777777" w:rsidR="006600CF" w:rsidRDefault="006600CF" w:rsidP="00B6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AAA30" w14:textId="77777777" w:rsidR="00E57E2B" w:rsidRDefault="00E57E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51C0C" w14:textId="77777777" w:rsidR="00E57E2B" w:rsidRDefault="00E57E2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3D0B2" w14:textId="77777777" w:rsidR="00E57E2B" w:rsidRDefault="00E57E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FF66D" w14:textId="77777777" w:rsidR="006600CF" w:rsidRDefault="006600CF" w:rsidP="00B66FAB">
      <w:pPr>
        <w:spacing w:after="0" w:line="240" w:lineRule="auto"/>
      </w:pPr>
      <w:r>
        <w:separator/>
      </w:r>
    </w:p>
  </w:footnote>
  <w:footnote w:type="continuationSeparator" w:id="0">
    <w:p w14:paraId="436470F5" w14:textId="77777777" w:rsidR="006600CF" w:rsidRDefault="006600CF" w:rsidP="00B6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DEF4F" w14:textId="7842F423" w:rsidR="00B66FAB" w:rsidRDefault="00F20F06">
    <w:pPr>
      <w:pStyle w:val="Cabealho"/>
    </w:pPr>
    <w:r>
      <w:rPr>
        <w:noProof/>
      </w:rPr>
      <w:pict w14:anchorId="4D2AA6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3063" o:spid="_x0000_s2053" type="#_x0000_t136" style="position:absolute;margin-left:0;margin-top:0;width:399.6pt;height:19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0835" w14:textId="0215EB5F" w:rsidR="00D22656" w:rsidRDefault="00F20F06">
    <w:pPr>
      <w:pStyle w:val="Cabealho"/>
    </w:pPr>
    <w:r>
      <w:rPr>
        <w:noProof/>
      </w:rPr>
      <w:pict w14:anchorId="497AAB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3064" o:spid="_x0000_s2054" type="#_x0000_t136" style="position:absolute;margin-left:0;margin-top:0;width:399.6pt;height:19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</v:shape>
      </w:pict>
    </w:r>
  </w:p>
  <w:p w14:paraId="2A2EB3FE" w14:textId="77777777" w:rsidR="00D22656" w:rsidRDefault="00D22656">
    <w:pPr>
      <w:pStyle w:val="Cabealho"/>
    </w:pPr>
  </w:p>
  <w:p w14:paraId="5CBBEFD6" w14:textId="77777777" w:rsidR="00FF773A" w:rsidRDefault="00FF773A">
    <w:pPr>
      <w:pStyle w:val="Cabealho"/>
    </w:pPr>
  </w:p>
  <w:p w14:paraId="30ECD968" w14:textId="77777777" w:rsidR="00FF773A" w:rsidRDefault="00FF773A">
    <w:pPr>
      <w:pStyle w:val="Cabealho"/>
    </w:pPr>
  </w:p>
  <w:p w14:paraId="095D3D81" w14:textId="77777777" w:rsidR="00FF773A" w:rsidRDefault="00FF773A">
    <w:pPr>
      <w:pStyle w:val="Cabealho"/>
    </w:pPr>
  </w:p>
  <w:p w14:paraId="590D45B8" w14:textId="77777777" w:rsidR="00FF773A" w:rsidRDefault="00FF773A">
    <w:pPr>
      <w:pStyle w:val="Cabealho"/>
    </w:pPr>
  </w:p>
  <w:p w14:paraId="6D388519" w14:textId="77777777" w:rsidR="00FF773A" w:rsidRDefault="00FF773A">
    <w:pPr>
      <w:pStyle w:val="Cabealho"/>
    </w:pPr>
  </w:p>
  <w:p w14:paraId="2C570772" w14:textId="77777777" w:rsidR="00FF773A" w:rsidRDefault="00FF773A">
    <w:pPr>
      <w:pStyle w:val="Cabealho"/>
    </w:pPr>
  </w:p>
  <w:p w14:paraId="21C56187" w14:textId="77777777" w:rsidR="00B66FAB" w:rsidRDefault="00B66F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06FD" w14:textId="23C78C02" w:rsidR="00B66FAB" w:rsidRDefault="00F20F06">
    <w:pPr>
      <w:pStyle w:val="Cabealho"/>
    </w:pPr>
    <w:r>
      <w:rPr>
        <w:noProof/>
      </w:rPr>
      <w:pict w14:anchorId="2A373A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3062" o:spid="_x0000_s2052" type="#_x0000_t136" style="position:absolute;margin-left:0;margin-top:0;width:399.6pt;height:19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irene Reggiori Pereira Caldas">
    <w15:presenceInfo w15:providerId="None" w15:userId="Rosirene Reggiori Pereira Cald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CF"/>
    <w:rsid w:val="000A4DE2"/>
    <w:rsid w:val="000B4B3B"/>
    <w:rsid w:val="00134E67"/>
    <w:rsid w:val="001A6EAF"/>
    <w:rsid w:val="002863B2"/>
    <w:rsid w:val="00331AAE"/>
    <w:rsid w:val="00396F4F"/>
    <w:rsid w:val="004034DF"/>
    <w:rsid w:val="0046080F"/>
    <w:rsid w:val="005031DC"/>
    <w:rsid w:val="0051005C"/>
    <w:rsid w:val="005700D2"/>
    <w:rsid w:val="005E3F5D"/>
    <w:rsid w:val="005F3C92"/>
    <w:rsid w:val="00637E6F"/>
    <w:rsid w:val="006600CF"/>
    <w:rsid w:val="00662014"/>
    <w:rsid w:val="00665002"/>
    <w:rsid w:val="00861607"/>
    <w:rsid w:val="00877DD8"/>
    <w:rsid w:val="008D3CEA"/>
    <w:rsid w:val="008F7629"/>
    <w:rsid w:val="00964EB4"/>
    <w:rsid w:val="00986D14"/>
    <w:rsid w:val="009C0A34"/>
    <w:rsid w:val="00A844E7"/>
    <w:rsid w:val="00AC2921"/>
    <w:rsid w:val="00B47CC0"/>
    <w:rsid w:val="00B66FAB"/>
    <w:rsid w:val="00BE1920"/>
    <w:rsid w:val="00C75C26"/>
    <w:rsid w:val="00C83DA3"/>
    <w:rsid w:val="00C8763E"/>
    <w:rsid w:val="00CD7CE6"/>
    <w:rsid w:val="00D22656"/>
    <w:rsid w:val="00D73A99"/>
    <w:rsid w:val="00D82D28"/>
    <w:rsid w:val="00E03762"/>
    <w:rsid w:val="00E57E2B"/>
    <w:rsid w:val="00E67A78"/>
    <w:rsid w:val="00F052C8"/>
    <w:rsid w:val="00F13E03"/>
    <w:rsid w:val="00F20F06"/>
    <w:rsid w:val="00F34504"/>
    <w:rsid w:val="00F46522"/>
    <w:rsid w:val="00F8676F"/>
    <w:rsid w:val="00F96903"/>
    <w:rsid w:val="00FB2CCA"/>
    <w:rsid w:val="00FC25A7"/>
    <w:rsid w:val="00FD441F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8C1E9D4"/>
  <w15:chartTrackingRefBased/>
  <w15:docId w15:val="{EBABCEF4-541F-4567-9DF9-14C0ACF1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FAB"/>
  </w:style>
  <w:style w:type="paragraph" w:styleId="Rodap">
    <w:name w:val="footer"/>
    <w:basedOn w:val="Normal"/>
    <w:link w:val="RodapChar"/>
    <w:uiPriority w:val="99"/>
    <w:unhideWhenUsed/>
    <w:rsid w:val="00B66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FAB"/>
  </w:style>
  <w:style w:type="paragraph" w:styleId="NormalWeb">
    <w:name w:val="Normal (Web)"/>
    <w:basedOn w:val="Normal"/>
    <w:uiPriority w:val="99"/>
    <w:unhideWhenUsed/>
    <w:rsid w:val="0028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863B2"/>
    <w:rPr>
      <w:i/>
      <w:iCs/>
    </w:rPr>
  </w:style>
  <w:style w:type="character" w:styleId="Forte">
    <w:name w:val="Strong"/>
    <w:uiPriority w:val="22"/>
    <w:qFormat/>
    <w:rsid w:val="002863B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863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63B2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63B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3B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atsu\Documents\Modelos%20Personalizados%20do%20Office\Folha%20Tibrado%20AGEPAN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Tibrado AGEPAN</Template>
  <TotalTime>87</TotalTime>
  <Pages>4</Pages>
  <Words>1065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T. Katsu</dc:creator>
  <cp:keywords/>
  <dc:description/>
  <cp:lastModifiedBy>Rosirene Reggiori Pereira Caldas</cp:lastModifiedBy>
  <cp:revision>12</cp:revision>
  <cp:lastPrinted>2021-08-30T18:42:00Z</cp:lastPrinted>
  <dcterms:created xsi:type="dcterms:W3CDTF">2021-08-22T18:55:00Z</dcterms:created>
  <dcterms:modified xsi:type="dcterms:W3CDTF">2021-08-30T18:43:00Z</dcterms:modified>
</cp:coreProperties>
</file>